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1.png" ContentType="image/png"/>
  <Override PartName="/word/media/rId108.png" ContentType="image/png"/>
  <Override PartName="/word/media/rId112.png" ContentType="image/png"/>
  <Override PartName="/word/media/rId116.png" ContentType="image/png"/>
  <Override PartName="/word/media/rId126.png" ContentType="image/png"/>
  <Override PartName="/word/media/rId1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Georg Hahn</w:t>
      </w:r>
      <w:r>
        <w:rPr>
          <w:vertAlign w:val="superscript"/>
        </w:rPr>
        <w:t xml:space="preserve">1</w:t>
      </w:r>
      <w:r>
        <w:t xml:space="preserve">, Priyanka Anand</w:t>
      </w:r>
      <w:r>
        <w:rPr>
          <w:vertAlign w:val="superscript"/>
        </w:rPr>
        <w:t xml:space="preserve">1</w:t>
      </w:r>
      <w:r>
        <w:t xml:space="preserve">, …,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4,131 words / 8,000 words</w:t>
      </w:r>
    </w:p>
    <w:p>
      <w:pPr>
        <w:pStyle w:val="BodyText"/>
      </w:pPr>
      <w:r>
        <w:rPr>
          <w:b/>
          <w:bCs/>
          <w:u w:val="single"/>
        </w:rPr>
        <w:t xml:space="preserve">Abstract word count:</w:t>
      </w:r>
      <w:r>
        <w:t xml:space="preserve"> </w:t>
      </w:r>
      <w:r>
        <w:t xml:space="preserve">248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https://github.com/janickweberpals/encore-process-manuscript</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2025-01-09 17:54:21.356075</w:t>
      </w:r>
    </w:p>
    <w:p>
      <w:r>
        <w:br w:type="page"/>
      </w:r>
    </w:p>
    <w:bookmarkStart w:id="22" w:name="abstract"/>
    <w:p>
      <w:pPr>
        <w:pStyle w:val="Heading1"/>
      </w:pPr>
      <w:r>
        <w:t xml:space="preserve">Abstract</w:t>
      </w:r>
    </w:p>
    <w:p>
      <w:pPr>
        <w:pStyle w:val="FirstParagraph"/>
      </w:pPr>
      <w:r>
        <w:t xml:space="preserve">Real-world evidence (RWE) studies are increasingly used to complement evidence from randomized controlled trials (RCTs), contextualizing the effectiveness and safety of medical interventions as delivered in clinical practice. Advancements in the curation and accessibility of electronic health record data (EHR) have presented the opportunity to investigate disease domains such as oncology, where administrative healthcare claims databases alone are not fit-for-purpose. The RCT DUPLICATE initiative has previously enhanced understanding of when RWE studies can draw causal conclusions by emulating trials in the cardio-metabolic, renal, and pulmonary clinical areas. In this process paper, we present the Emulation of Comparative Oncology Trials with Real-world Evidence (ENCORE) project, which aims to extend this work to oncology. This expansion will emulate 12 RCTs in multiple EHR databases across four different cancer indications, including non-small cell lung cancer, breast cancer, colorectal cancer, and multiple myeloma. The objectives of this project are to develop state-of-the-art methodological approaches and to apply them in a demonstration project designed to create insights for guiding the use of RWE in oncology. The project will place a special emphasis on systematic evaluation of fitness of data in relation to the study design and statistical analysis for a particular research question, and pre-registration of study protocols prior to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bias and validity in oncological RWE studies.</w:t>
      </w:r>
    </w:p>
    <w:p>
      <w:r>
        <w:br w:type="page"/>
      </w:r>
    </w:p>
    <w:bookmarkEnd w:id="22"/>
    <w:bookmarkStart w:id="23"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the 21</w:t>
      </w:r>
      <w:r>
        <w:rPr>
          <w:vertAlign w:val="superscript"/>
        </w:rPr>
        <w:t xml:space="preserve">st</w:t>
      </w:r>
      <w:r>
        <w:t xml:space="preserve"> </w:t>
      </w:r>
      <w:r>
        <w:t xml:space="preserve">Century Cures Act directive</w:t>
      </w:r>
      <w:r>
        <w:rPr>
          <w:vertAlign w:val="superscript"/>
        </w:rPr>
        <w:t xml:space="preserve">1</w:t>
      </w:r>
      <w:r>
        <w:t xml:space="preserve">, 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Accounting for 21% of all approvals, oncology was the disease area with the most FDA drug approvals in 2023</w:t>
      </w:r>
      <w:r>
        <w:rPr>
          <w:vertAlign w:val="superscript"/>
        </w:rPr>
        <w:t xml:space="preserve">3</w:t>
      </w:r>
      <w:r>
        <w:t xml:space="preserve">, RWE has particularly important potential to complement evidence coming from RCTs in the field of precision oncology where potential use cases include the assessment of effectiveness in patient populations that are underrepresented in RCTs, the construction of external control arms in single-arm trials where active recruitment may not be feasible, or the discovery of biomarkers among pan-tumor populations that harbor specific genomic and immuno-pathological signatures..</w:t>
      </w:r>
    </w:p>
    <w:p>
      <w:pPr>
        <w:pStyle w:val="BodyText"/>
      </w:pPr>
      <w:r>
        <w:t xml:space="preserve">However, the validity and transportability of results derived between RWE studies and RCTs can depend on many factors and frequently referenced limitations include missing data, small sample sizes, data discontinuity</w:t>
      </w:r>
      <w:r>
        <w:rPr>
          <w:vertAlign w:val="superscript"/>
        </w:rPr>
        <w:t xml:space="preserve">4, 5</w:t>
      </w:r>
      <w:r>
        <w:t xml:space="preserve">, rapid changes in guideline treatment patterns and the inability to measure and emulate common eligibility criteria and prognostic factors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a systematic and scaled approach to emulate a diverse set of different oncology trials in multiple heterogeneous databases is necessary to gain confidence in the validity of RWE studies and to provide context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benchmarking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w:t>
      </w:r>
      <w:r>
        <w:rPr>
          <w:b/>
          <w:bCs/>
        </w:rPr>
        <w:t xml:space="preserve">ENCORE</w:t>
      </w:r>
      <w:r>
        <w:t xml:space="preserve">) project</w:t>
      </w:r>
      <w:r>
        <w:rPr>
          <w:vertAlign w:val="superscript"/>
        </w:rPr>
        <w:t xml:space="preserve">11</w:t>
      </w:r>
      <w:r>
        <w:t xml:space="preserve"> </w:t>
      </w:r>
      <w:r>
        <w:t xml:space="preserve">aims to extend this work to the field of oncology. Studies in oncology come with their own unique set of challenges which must be systematically explored and understood. Building on a process co-developed with the FDA through RCT DUPLICATE</w:t>
      </w:r>
      <w:r>
        <w:rPr>
          <w:vertAlign w:val="superscript"/>
        </w:rPr>
        <w:t xml:space="preserve">9</w:t>
      </w:r>
      <w:r>
        <w:t xml:space="preserve">, this expansion to oncology will emulate 12 randomized clinical trials using multiple specialty oncology EHR data sources. The process will emphasize transparency and include documented data fitness assessment</w:t>
      </w:r>
      <w:r>
        <w:rPr>
          <w:vertAlign w:val="superscript"/>
        </w:rPr>
        <w:t xml:space="preserve">12, 13</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to apply them to create insights that may provide guidance on the potential use of RWE for regulatory science in oncology. To achieve these objectives, this demonstration project will systematically emulate 12 oncology trials across four cancers and assess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and pre-registration, study design and statistical analysis, and pre-specified agreement metrics to evaluate the concordance between RCTs and emulations.</w:t>
      </w:r>
    </w:p>
    <w:bookmarkEnd w:id="23"/>
    <w:bookmarkStart w:id="37"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for which there has been substantial therapeutic development in recent years. After careful review and exchange with clinical and regulatory experts, four cancer indications were identified including lung cancer, breast cancer, colorectal cancer and multiple myeloma. For each cancer type we aim to conduct three trial emulations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We used a semi-automated process for trial selection where the eligibility criteria are documented in CONSORT diagrams showing reasons for excluding RCTs for each cancer type. The search was conducted using the AACT database which is a publicly available relational database developed and maintained by the Clinical Trials Transformation Initiative (CTTI) that contains all information (protocol and result data elements) about every study registered on ClinicalTrials.gov.</w:t>
      </w:r>
      <w:r>
        <w:rPr>
          <w:vertAlign w:val="superscript"/>
        </w:rPr>
        <w:t xml:space="preserve">14</w:t>
      </w:r>
      <w:r>
        <w:t xml:space="preserve"> </w:t>
      </w:r>
      <w:r>
        <w:t xml:space="preserve">To identify eligible trials, we used a combined search query strategy of the National Library of Medicine (NLM)-controlled</w:t>
      </w:r>
      <w:r>
        <w:t xml:space="preserve"> </w:t>
      </w:r>
      <w:r>
        <w:rPr>
          <w:i/>
          <w:iCs/>
        </w:rPr>
        <w:t xml:space="preserve">MeSH</w:t>
      </w:r>
      <w:r>
        <w:t xml:space="preserve"> </w:t>
      </w:r>
      <w:r>
        <w:t xml:space="preserve">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because treatment guidelines among included cancer indications have undergone significant changes in recent years. Due to the rapid adoption of new breakthrough therapies in routine care, it is unlikely to find patients who may be still treated with outdated treatment regimens in current clinical practice. We also did not include trials with results published too recently. This decision was in order to allow for enough data and follow-up time accrual in the databases used for this project.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Given this, and the large number of other methodological challenges like missing data, small sample sizes, data discontinuity and rapidly changing guideline treatments, we focus on the emulation of overall survival (OS) as the endpoint of interest. Therefore, we include only trials that have reported overall survival (OS) as one of the pre-specified endpoints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critical points considered in this step include an initial feasibility assessment of the data fitness</w:t>
      </w:r>
      <w:r>
        <w:rPr>
          <w:vertAlign w:val="superscript"/>
        </w:rPr>
        <w:t xml:space="preserve">19</w:t>
      </w:r>
      <w:r>
        <w:t xml:space="preserve">, including assessment of whether critical eligibility criteria (e.g., biomarker status) and prognostic factors (e.g., ECOG performance score) are measurable and whether preliminary sample size counts are reasonable. Lastly, trial candidates were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cover advanced or metastatic cancer populations because a large proportion of drug development efforts have focused on these settings in recent years. A key learning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more thorough feasibility assessments suggest that the threat of bias from mis-measurement of key study parameters or residual confounding remains high, or that the sample size is not sufficient, then runner-up candidates will be considered instead.</w:t>
      </w:r>
    </w:p>
    <w:bookmarkEnd w:id="24"/>
    <w:bookmarkStart w:id="25" w:name="databases"/>
    <w:p>
      <w:pPr>
        <w:pStyle w:val="Heading2"/>
      </w:pPr>
      <w:r>
        <w:t xml:space="preserve">Databases</w:t>
      </w:r>
    </w:p>
    <w:p>
      <w:pPr>
        <w:pStyle w:val="FirstParagraph"/>
      </w:pPr>
      <w:r>
        <w:t xml:space="preserve">The ENCORE project will use data from a four oncology-specific electronic health records (EHR)-derived specialty oncology data sources: ConcertAI, COTA, Flatiron Health, McKesson/Ontada. All available databases draw from a comprehensive national sample of patients with cancer in the US with detailed EHR-derived information on the information necessary to study medication effectiveness in oncology. A detailed description and methodology on how patients are sampled will be provided with each trial emulation protocol. For ENCORE, not all databases will be available for each cancer indication and the names of the databases will be blinded and referred to as ENCORE DataBase (EDB) 1, 2, 3 and 4 for the final reporting of results. If more than one database is considered fit-for-purpose for a respective trial emulation, the best possible analytic model will be employed for each database separately and final treatment effect estimates will be pooled using a meta-analytic approach using fixed and random effects models.</w:t>
      </w:r>
    </w:p>
    <w:bookmarkEnd w:id="25"/>
    <w:bookmarkStart w:id="30"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using the HARPER protocol template</w:t>
      </w:r>
      <w:r>
        <w:rPr>
          <w:vertAlign w:val="superscript"/>
        </w:rPr>
        <w:t xml:space="preserve">20</w:t>
      </w:r>
      <w:r>
        <w:t xml:space="preserve"> </w:t>
      </w:r>
      <w:r>
        <w:t xml:space="preserve">which has been recommended for regulatory submissions of RWE studies</w:t>
      </w:r>
      <w:r>
        <w:rPr>
          <w:vertAlign w:val="superscript"/>
        </w:rPr>
        <w:t xml:space="preserve">21</w:t>
      </w:r>
      <w:r>
        <w:t xml:space="preserve">, 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22, 23</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bookmarkStart w:id="29" w:name="emulation-feasibility"/>
    <w:p>
      <w:pPr>
        <w:pStyle w:val="Heading3"/>
      </w:pPr>
      <w:r>
        <w:t xml:space="preserve">Emulation feasibility</w:t>
      </w:r>
    </w:p>
    <w:bookmarkStart w:id="26" w:name="fit-for-purpose-data"/>
    <w:p>
      <w:pPr>
        <w:pStyle w:val="Heading4"/>
      </w:pPr>
      <w:r>
        <w:rPr>
          <w:b/>
          <w:bCs/>
        </w:rPr>
        <w:t xml:space="preserve">Fit-for-purpose data</w:t>
      </w:r>
    </w:p>
    <w:p>
      <w:pPr>
        <w:pStyle w:val="FirstParagraph"/>
      </w:pPr>
      <w:r>
        <w:t xml:space="preserve">Real-world data fitness and emulation feasibility for each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a vast majority of oncological RCTs in recent years have focused on selected, biomarker-defined populations, subtleties in measurement and operationalizability of specific biomarkers must be reflected to ensure a representative and large enough study population. For example, immunotherapies have significantly changed the cancer treatment landscape since the approval of the first PD-L1 inhibitor in 2015. With many trials that have followed thereafter, the operationalization of the expression of the PD-L1 biomarker in RCTs (e.g., as a percent staining, tumor proportion score or combined positive score) has also evolved since then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won’t be possible to emulate (e.g., physician-assessed survival prognosis of xy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abstractions,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24</w:t>
      </w:r>
    </w:p>
    <w:bookmarkEnd w:id="26"/>
    <w:bookmarkStart w:id="27" w:name="descriptives-and-data-exploration"/>
    <w:p>
      <w:pPr>
        <w:pStyle w:val="Heading4"/>
      </w:pPr>
      <w:r>
        <w:rPr>
          <w:b/>
          <w:bCs/>
        </w:rPr>
        <w:t xml:space="preserve">Descriptives and data exploration</w:t>
      </w:r>
    </w:p>
    <w:p>
      <w:pPr>
        <w:pStyle w:val="FirstParagraph"/>
      </w:pPr>
      <w:r>
        <w:t xml:space="preserve">Critical aspects when emulating oncology trials are the choice and estimation of the appropriate estimand of interest.</w:t>
      </w:r>
      <w:r>
        <w:rPr>
          <w:vertAlign w:val="superscript"/>
        </w:rPr>
        <w:t xml:space="preserve">25</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Examples for such standard diagnostics are visualized in</w:t>
      </w:r>
      <w:r>
        <w:t xml:space="preserve"> </w:t>
      </w:r>
      <w:hyperlink w:anchor="fig-initiators">
        <w:r>
          <w:rPr>
            <w:rStyle w:val="Hyperlink"/>
          </w:rPr>
          <w:t xml:space="preserve">Figure 2</w:t>
        </w:r>
      </w:hyperlink>
      <w:r>
        <w:t xml:space="preserve">. All exploratory analyses will be conducted blinded towards the outcome to avoid influencing study design and analytic choices.</w:t>
      </w:r>
    </w:p>
    <w:p>
      <w:pPr>
        <w:pStyle w:val="BodyText"/>
      </w:pPr>
      <w:r>
        <w:t xml:space="preserve">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bookmarkEnd w:id="27"/>
    <w:bookmarkStart w:id="28" w:name="statistical-power"/>
    <w:p>
      <w:pPr>
        <w:pStyle w:val="Heading4"/>
      </w:pPr>
      <w:r>
        <w:rPr>
          <w:b/>
          <w:bCs/>
        </w:rPr>
        <w:t xml:space="preserve">Statistical power</w:t>
      </w:r>
    </w:p>
    <w:p>
      <w:pPr>
        <w:pStyle w:val="FirstParagraph"/>
      </w:pPr>
      <w:r>
        <w:t xml:space="preserve">Causal analyses of observational data may not have the same pre-requisites in terms of formal hypothesis testing and statistical power than RCTs since the number of</w:t>
      </w:r>
      <w:r>
        <w:t xml:space="preserve"> </w:t>
      </w:r>
      <w:r>
        <w:t xml:space="preserve">‘recruited’</w:t>
      </w:r>
      <w:r>
        <w:t xml:space="preserve"> </w:t>
      </w:r>
      <w:r>
        <w:t xml:space="preserve">patients is given and cannot be influenced.</w:t>
      </w:r>
      <w:r>
        <w:rPr>
          <w:vertAlign w:val="superscript"/>
        </w:rPr>
        <w:t xml:space="preserve">26</w:t>
      </w:r>
      <w:r>
        <w:t xml:space="preserve"> </w:t>
      </w:r>
      <w:r>
        <w:t xml:space="preserve">For this project, however, the emulations in EHR data must have at least equal power to the relevant trial for interpretation of the pre-specified agreements metrics between RCT and RWD results. Since the main outcome of interest is defined as time to all-cause mortality (OS), the estimation of the statistical power is driven by the number of events rather than the number of patients. To assess if the overall number of events, unstratified by exposure, is sufficient such that a significant difference can be detected based on the original RCT-reported hazard ratio (HR), the statistical power</w:t>
      </w:r>
      <w:r>
        <w:t xml:space="preserve"> </w:t>
      </w:r>
      <m:oMath>
        <m:r>
          <m:t>β</m:t>
        </m:r>
      </m:oMath>
      <w:r>
        <w:t xml:space="preserve"> </w:t>
      </w:r>
      <w:r>
        <w:t xml:space="preserve">will be estimated using Schoenfeld’s sample-size formula for the proportional-hazards regression model.</w:t>
      </w:r>
      <w:r>
        <w:rPr>
          <w:vertAlign w:val="superscript"/>
        </w:rPr>
        <w:t xml:space="preserve">27</w:t>
      </w:r>
    </w:p>
    <w:bookmarkEnd w:id="28"/>
    <w:bookmarkEnd w:id="29"/>
    <w:bookmarkEnd w:id="30"/>
    <w:bookmarkStart w:id="31"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9, 28</w:t>
      </w:r>
      <w:r>
        <w:t xml:space="preserve"> </w:t>
      </w:r>
      <w:r>
        <w:t xml:space="preserve">That is, for the primary endpoint of interest (HR and corresponding 95% confidence intervals), we will derive three qualitative agreement metrics: regulatory agreement, estimate agreement and agreement based on the standardized mean difference (SMD). Examples are illustrated</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w:t>
      </w:r>
    </w:p>
    <w:p>
      <w:pPr>
        <w:pStyle w:val="BodyText"/>
      </w:pPr>
      <w:r>
        <w:rPr>
          <w:b/>
          <w:bCs/>
        </w:rPr>
        <w:t xml:space="preserve">Estimate agreement</w:t>
      </w:r>
      <w:r>
        <w:t xml:space="preserve">: agreement that the estimated RWE treatment treatment effect is within the 95% CI of the RCT treatment effect estimate. Provided that for some emulations, the power of the RWE study may be larger than that of the original RCT, this could lead to situations where there is no regulatory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acc>
          <m:accPr>
            <m:chr m:val="̂"/>
          </m:accPr>
          <m:e>
            <m:r>
              <m:t>θ</m:t>
            </m:r>
          </m:e>
        </m:acc>
      </m:oMath>
      <w:r>
        <w:t xml:space="preserve"> </w:t>
      </w:r>
      <w:r>
        <w:t xml:space="preserve">are the treatment effect estimates (hazard ratios or median survival times) and</w:t>
      </w:r>
      <w:r>
        <w:t xml:space="preserve"> </w:t>
      </w:r>
      <m:oMath>
        <m:r>
          <m:rPr>
            <m:nor/>
            <m:sty m:val="p"/>
          </m:rPr>
          <m:t>Var</m:t>
        </m:r>
        <m:d>
          <m:dPr>
            <m:begChr m:val="("/>
            <m:endChr m:val=")"/>
            <m:sepChr m:val=""/>
            <m:grow/>
          </m:dPr>
          <m:e>
            <m:acc>
              <m:accPr>
                <m:chr m:val="̂"/>
              </m:accPr>
              <m:e>
                <m:r>
                  <m:t>θ</m:t>
                </m:r>
              </m:e>
            </m:acc>
          </m:e>
        </m:d>
      </m:oMath>
      <w:r>
        <w:t xml:space="preserve"> </w:t>
      </w:r>
      <w:r>
        <w:t xml:space="preserve">are the corresponding variances.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1"/>
    <w:bookmarkStart w:id="36"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29</w:t>
      </w:r>
    </w:p>
    <w:bookmarkStart w:id="32"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potentially underlying missingness mechanisms according to Rubin’s classification of missing data (i.e., missing completely at random [MCAR], missing at random [MAR] and missing not at random [MNAR]).</w:t>
      </w:r>
      <w:r>
        <w:rPr>
          <w:vertAlign w:val="superscript"/>
        </w:rPr>
        <w:t xml:space="preserve">30</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31, 32</w:t>
      </w:r>
      <w:r>
        <w:t xml:space="preserve"> </w:t>
      </w:r>
      <w:r>
        <w:t xml:space="preserve">In brief, these diagnostic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33</w:t>
      </w:r>
      <w:r>
        <w:t xml:space="preserve">, this will inform decisions regarding the in- or exclusion of patients with missing values in key eligibility criteria and potential sensitivity analyses to assess the robustness of these decisions.</w:t>
      </w:r>
      <w:r>
        <w:rPr>
          <w:vertAlign w:val="superscript"/>
        </w:rPr>
        <w:t xml:space="preserve">34</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33</w:t>
      </w:r>
      <w:r>
        <w:t xml:space="preserve"> </w:t>
      </w:r>
      <w:r>
        <w:t xml:space="preserve">Hence, methodologies which retain patients and give the potential to adjust for a broader set of prognostic factors (e.g., multiple imputation</w:t>
      </w:r>
      <w:r>
        <w:rPr>
          <w:vertAlign w:val="superscript"/>
        </w:rPr>
        <w:t xml:space="preserve">35</w:t>
      </w:r>
      <w:r>
        <w:t xml:space="preserve"> </w:t>
      </w:r>
      <w:r>
        <w:t xml:space="preserve">or doubly robust methods</w:t>
      </w:r>
      <w:r>
        <w:rPr>
          <w:vertAlign w:val="superscript"/>
        </w:rPr>
        <w:t xml:space="preserve">36</w:t>
      </w:r>
      <w:r>
        <w:t xml:space="preserve">) may be preferred over complete case analyses.</w:t>
      </w:r>
    </w:p>
    <w:bookmarkEnd w:id="32"/>
    <w:bookmarkStart w:id="33"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37</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38, 39</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40</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important prognostic covariates will be based on expert clinical knowledge and published literature on prognostic scores in oncology.</w:t>
      </w:r>
      <w:r>
        <w:rPr>
          <w:vertAlign w:val="superscript"/>
        </w:rPr>
        <w:t xml:space="preserve">41</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42, 43</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44, 45</w:t>
      </w:r>
      <w:r>
        <w:t xml:space="preserve"> </w:t>
      </w:r>
      <w:r>
        <w:t xml:space="preserve">This approach has been shown to lead to unbiased estimates across different simulated scenarios with a sufficient estimation of the variance.</w:t>
      </w:r>
      <w:r>
        <w:rPr>
          <w:vertAlign w:val="superscript"/>
        </w:rPr>
        <w:t xml:space="preserve">42</w:t>
      </w:r>
    </w:p>
    <w:p>
      <w:pPr>
        <w:pStyle w:val="BodyText"/>
      </w:pPr>
      <w:r>
        <w:t xml:space="preserve">To asses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46</w:t>
      </w:r>
      <w:r>
        <w:t xml:space="preserve"> </w:t>
      </w:r>
      <w:r>
        <w:t xml:space="preserve">Further, we will compute the average post-matching or post-weighting C-statistics.</w:t>
      </w:r>
      <w:r>
        <w:rPr>
          <w:vertAlign w:val="superscript"/>
        </w:rPr>
        <w:t xml:space="preserve">47</w:t>
      </w:r>
      <w:r>
        <w:t xml:space="preserve"> </w:t>
      </w:r>
      <w:r>
        <w:t xml:space="preserve">In addition, we will use a published prognostic score for OS</w:t>
      </w:r>
      <w:r>
        <w:rPr>
          <w:vertAlign w:val="superscript"/>
        </w:rPr>
        <w:t xml:space="preserve">41</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48</w:t>
      </w:r>
    </w:p>
    <w:p>
      <w:pPr>
        <w:pStyle w:val="BodyText"/>
      </w:pPr>
      <w:r>
        <w:t xml:space="preserve">Similarly, survival probabilities for individual time points will be estimated in each imputed and propensity score matched or weighted dataset according the Kaplan-Meier method.</w:t>
      </w:r>
      <w:r>
        <w:rPr>
          <w:vertAlign w:val="superscript"/>
        </w:rPr>
        <w:t xml:space="preserve">40</w:t>
      </w:r>
      <w:r>
        <w:t xml:space="preserve"> </w:t>
      </w:r>
      <w:r>
        <w:t xml:space="preserve">Since survival probabilities typically don’t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49, 50</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3"/>
    <w:bookmarkStart w:id="34" w:name="sensitivity-analyses"/>
    <w:p>
      <w:pPr>
        <w:pStyle w:val="Heading3"/>
      </w:pPr>
      <w:r>
        <w:t xml:space="preserve">Sensitivity analyses</w:t>
      </w:r>
    </w:p>
    <w:p>
      <w:pPr>
        <w:pStyle w:val="FirstParagraph"/>
      </w:pPr>
      <w:r>
        <w:t xml:space="preserve">Given that a large number of factors could influence a difference between RCT results and emulated trial results, a broad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will be pre-specified in the study protocol and reported using appropriate visualizations such as forest plots.</w:t>
      </w:r>
    </w:p>
    <w:bookmarkEnd w:id="34"/>
    <w:bookmarkStart w:id="35"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and internal R package</w:t>
      </w:r>
      <w:r>
        <w:t xml:space="preserve"> </w:t>
      </w:r>
      <w:r>
        <w:rPr>
          <w:rStyle w:val="VerbatimChar"/>
        </w:rPr>
        <w:t xml:space="preserve">encore.io</w:t>
      </w:r>
      <w:r>
        <w:t xml:space="preserve"> </w:t>
      </w:r>
      <w:r>
        <w:t xml:space="preserve">with parameterized functions. Detailed documentation can be found in the Supplementary Material.</w:t>
      </w:r>
    </w:p>
    <w:p>
      <w:r>
        <w:br w:type="page"/>
      </w:r>
    </w:p>
    <w:bookmarkEnd w:id="35"/>
    <w:bookmarkEnd w:id="36"/>
    <w:bookmarkEnd w:id="37"/>
    <w:bookmarkStart w:id="39" w:name="discussion"/>
    <w:p>
      <w:pPr>
        <w:pStyle w:val="Heading1"/>
      </w:pPr>
      <w:r>
        <w:t xml:space="preserve">Discussion</w:t>
      </w:r>
    </w:p>
    <w:p>
      <w:pPr>
        <w:pStyle w:val="FirstParagraph"/>
      </w:pPr>
      <w:r>
        <w:t xml:space="preserve">Building off an established approach based on the RCT DUPLICATE project</w:t>
      </w:r>
      <w:r>
        <w:rPr>
          <w:vertAlign w:val="superscript"/>
        </w:rPr>
        <w:t xml:space="preserve">9, 28</w:t>
      </w:r>
      <w:r>
        <w:t xml:space="preserve">, the ENCORE project aims to emulate 12 oncology trials using multiple EHR data sources to inform the potential use of RWE for regulatory science in oncology. The project focuses on four common cancers and will evaluate the agreement of treatment effect estimates between RCTs and their respective emulations. Historically, administrative health claims databases have been the backbone of most research in RWE. With increasing access to EHR and a maturing set of methodological approaches to draw causal inferences from such data, the ENCORE project is one of the first of its kind to evaluate when and how RWD can be used to deliver similar causal conclusions compared to RCTs in the field of oncology.</w:t>
      </w:r>
    </w:p>
    <w:p>
      <w:pPr>
        <w:pStyle w:val="BodyText"/>
      </w:pPr>
      <w:r>
        <w:t xml:space="preserve">The RCT DUPLICATE project</w:t>
      </w:r>
      <w:r>
        <w:rPr>
          <w:vertAlign w:val="superscript"/>
        </w:rPr>
        <w:t xml:space="preserve">9, 28</w:t>
      </w:r>
      <w:r>
        <w:t xml:space="preserve"> </w:t>
      </w:r>
      <w:r>
        <w:t xml:space="preserve">identified multiple emulation challenges which we expect to also encounter in ENCORE. One particular aspect that we may not always be able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which we won’t be able to mirror given that all considered databases reflect the US only. This may be a critical factor especially given that the pathophysiology, prognosis and factors that drive heterogeneous treatment outcomes of certain cancers differ between countries. For example, some cancer indications (e.g., GI cancers) or some genetic mutations (e.g., EGFR mutations) are much more prevalent in Asian countries compared to the US or Europe.</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or the crossover of a high proportion of patients from the control to the intervention arm, trial emulation are prone to be biased towards the null. Although this is also a common challenge in the analysis of RCTs</w:t>
      </w:r>
      <w:r>
        <w:rPr>
          <w:vertAlign w:val="superscript"/>
        </w:rPr>
        <w:t xml:space="preserve">25</w:t>
      </w:r>
      <w:r>
        <w:t xml:space="preserve">, treatment protocols in routine care are often observed to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even augmented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too narrow ascertainment windows) and selection bias (due to too long ascertainment windows) are common trade-offs in such scenarios. Alternative analytic approaches which target a per-protocol estimand, such as the clone-censor-weight design</w:t>
      </w:r>
      <w:r>
        <w:rPr>
          <w:vertAlign w:val="superscript"/>
        </w:rPr>
        <w:t xml:space="preserve">51</w:t>
      </w:r>
      <w:r>
        <w:t xml:space="preserve">, may be viable options if the ITT estimand cannot be estimated due to the aforementioned parameters, provided that necessary covariate measurements are available to account for the artificial censoring introduced with these methods.</w:t>
      </w:r>
    </w:p>
    <w:bookmarkStart w:id="38" w:name="conclusions"/>
    <w:p>
      <w:pPr>
        <w:pStyle w:val="Heading2"/>
      </w:pPr>
      <w:r>
        <w:t xml:space="preserve">Conclusions</w:t>
      </w:r>
    </w:p>
    <w:p>
      <w:pPr>
        <w:pStyle w:val="FirstParagraph"/>
      </w:pPr>
      <w:r>
        <w:t xml:space="preserve">RWE based on fit-for-purpose data and principled, well-designed and reproducible studies may complement evidence coming from RCTs. Through a systematic benchmarking approach, the ENCORE project will provide insights as to how measurement, design and analytic decisions influence bias and validity in oncological RWE studies.</w:t>
      </w:r>
    </w:p>
    <w:p>
      <w:r>
        <w:br w:type="page"/>
      </w:r>
    </w:p>
    <w:bookmarkEnd w:id="38"/>
    <w:bookmarkEnd w:id="39"/>
    <w:bookmarkStart w:id="107" w:name="references"/>
    <w:p>
      <w:pPr>
        <w:pStyle w:val="Heading1"/>
      </w:pPr>
      <w:r>
        <w:t xml:space="preserve">References</w:t>
      </w:r>
    </w:p>
    <w:bookmarkStart w:id="106" w:name="refs"/>
    <w:bookmarkStart w:id="41" w:name="ref-RWEFDA"/>
    <w:p>
      <w:pPr>
        <w:pStyle w:val="Bibliography"/>
      </w:pPr>
      <w:r>
        <w:rPr>
          <w:b/>
          <w:bCs/>
        </w:rPr>
        <w:t xml:space="preserve">1</w:t>
      </w:r>
      <w:r>
        <w:t xml:space="preserve">. Framework for FDA’s real-world evidence program (last accessed 11/28/2024) [Internet], 2018Available from:</w:t>
      </w:r>
      <w:r>
        <w:t xml:space="preserve"> </w:t>
      </w:r>
      <w:hyperlink r:id="rId40">
        <w:r>
          <w:rPr>
            <w:rStyle w:val="Hyperlink"/>
          </w:rPr>
          <w:t xml:space="preserve">https://www.fda.gov/media/120060/download?attachment</w:t>
        </w:r>
      </w:hyperlink>
    </w:p>
    <w:bookmarkEnd w:id="41"/>
    <w:bookmarkStart w:id="42"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2"/>
    <w:bookmarkStart w:id="43" w:name="ref-senior2024fresh"/>
    <w:p>
      <w:pPr>
        <w:pStyle w:val="Bibliography"/>
      </w:pPr>
      <w:r>
        <w:rPr>
          <w:b/>
          <w:bCs/>
        </w:rPr>
        <w:t xml:space="preserve">3</w:t>
      </w:r>
      <w:r>
        <w:t xml:space="preserve">. Senior M: Fresh from the biotech pipeline: Record-breaking FDA approvals. Nature Biotechnology, 2024</w:t>
      </w:r>
    </w:p>
    <w:bookmarkEnd w:id="43"/>
    <w:bookmarkStart w:id="45"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9</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7" w:name="ref-wang2022harmonized"/>
    <w:p>
      <w:pPr>
        <w:pStyle w:val="Bibliography"/>
      </w:pPr>
      <w:r>
        <w:rPr>
          <w:b/>
          <w:bCs/>
        </w:rPr>
        <w:t xml:space="preserve">20</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6">
        <w:r>
          <w:rPr>
            <w:rStyle w:val="Hyperlink"/>
          </w:rPr>
          <w:t xml:space="preserve">https://doi.org/10.1016/j.jval.2022.09.001</w:t>
        </w:r>
      </w:hyperlink>
    </w:p>
    <w:bookmarkEnd w:id="67"/>
    <w:bookmarkStart w:id="68" w:name="ref-guidelinegeneral"/>
    <w:p>
      <w:pPr>
        <w:pStyle w:val="Bibliography"/>
      </w:pPr>
      <w:r>
        <w:rPr>
          <w:b/>
          <w:bCs/>
        </w:rPr>
        <w:t xml:space="preserve">21</w:t>
      </w:r>
      <w:r>
        <w:t xml:space="preserve">. 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p>
    <w:bookmarkEnd w:id="68"/>
    <w:bookmarkStart w:id="69" w:name="ref-hernan2022target"/>
    <w:p>
      <w:pPr>
        <w:pStyle w:val="Bibliography"/>
      </w:pPr>
      <w:r>
        <w:rPr>
          <w:b/>
          <w:bCs/>
        </w:rPr>
        <w:t xml:space="preserve">22</w:t>
      </w:r>
      <w:r>
        <w:t xml:space="preserve">. Hernán MA, Wang W, Leaf DE: Target trial emulation: A framework for causal inference from observational data. Jama 328:2446–2447, 2022</w:t>
      </w:r>
    </w:p>
    <w:bookmarkEnd w:id="69"/>
    <w:bookmarkStart w:id="71" w:name="ref-hernan2016specifying"/>
    <w:p>
      <w:pPr>
        <w:pStyle w:val="Bibliography"/>
      </w:pPr>
      <w:r>
        <w:rPr>
          <w:b/>
          <w:bCs/>
        </w:rPr>
        <w:t xml:space="preserve">23</w:t>
      </w:r>
      <w:r>
        <w:t xml:space="preserve">. Hernán MA, Sauer BC, Hernández-Dı́az S, et al:</w:t>
      </w:r>
      <w:r>
        <w:t xml:space="preserve"> </w:t>
      </w:r>
      <w:hyperlink r:id="rId70">
        <w:r>
          <w:rPr>
            <w:rStyle w:val="Hyperlink"/>
          </w:rPr>
          <w:t xml:space="preserve">Specifying a target trial prevents immortal time bias and other self-inflicted injuries in observational analyses</w:t>
        </w:r>
      </w:hyperlink>
      <w:r>
        <w:t xml:space="preserve">. Journal of clinical epidemiology 79:70–75, 2016</w:t>
      </w:r>
    </w:p>
    <w:bookmarkEnd w:id="71"/>
    <w:bookmarkStart w:id="72" w:name="ref-meyer2020open"/>
    <w:p>
      <w:pPr>
        <w:pStyle w:val="Bibliography"/>
      </w:pPr>
      <w:r>
        <w:rPr>
          <w:b/>
          <w:bCs/>
        </w:rPr>
        <w:t xml:space="preserve">24</w:t>
      </w:r>
      <w:r>
        <w:t xml:space="preserve">. Meyer A-M, Davies J, Taylor M, et al: Open cohorts and ghost-time bias in real world data, in PHARMACOEPIDEMIOLOGY AND DRUG SAFETY. WILEY 111 RIVER ST, HOBOKEN 07030-5774, NJ USA, 2020, pp 426–426</w:t>
      </w:r>
    </w:p>
    <w:bookmarkEnd w:id="72"/>
    <w:bookmarkStart w:id="74"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3">
        <w:r>
          <w:rPr>
            <w:rStyle w:val="Hyperlink"/>
          </w:rPr>
          <w:t xml:space="preserve">http://dx.doi.org/10.1002/pst.1917</w:t>
        </w:r>
      </w:hyperlink>
    </w:p>
    <w:bookmarkEnd w:id="74"/>
    <w:bookmarkStart w:id="75" w:name="ref-hernan2022causal"/>
    <w:p>
      <w:pPr>
        <w:pStyle w:val="Bibliography"/>
      </w:pPr>
      <w:r>
        <w:rPr>
          <w:b/>
          <w:bCs/>
        </w:rPr>
        <w:t xml:space="preserve">26</w:t>
      </w:r>
      <w:r>
        <w:t xml:space="preserve">. Hernán MA: Causal analyses of existing databases: No power calculations required. Journal of clinical epidemiology 144:203–205, 2022</w:t>
      </w:r>
    </w:p>
    <w:bookmarkEnd w:id="75"/>
    <w:bookmarkStart w:id="76" w:name="ref-schoenfeld1981asymptotic"/>
    <w:p>
      <w:pPr>
        <w:pStyle w:val="Bibliography"/>
      </w:pPr>
      <w:r>
        <w:rPr>
          <w:b/>
          <w:bCs/>
        </w:rPr>
        <w:t xml:space="preserve">27</w:t>
      </w:r>
      <w:r>
        <w:t xml:space="preserve">. Schoenfeld D: The asymptotic properties of nonparametric tests for comparing survival distributions. Biometrika 68:316–319, 1981</w:t>
      </w:r>
    </w:p>
    <w:bookmarkEnd w:id="76"/>
    <w:bookmarkStart w:id="77" w:name="ref-franklin2020nonrandomized"/>
    <w:p>
      <w:pPr>
        <w:pStyle w:val="Bibliography"/>
      </w:pPr>
      <w:r>
        <w:rPr>
          <w:b/>
          <w:bCs/>
        </w:rPr>
        <w:t xml:space="preserve">28</w:t>
      </w:r>
      <w:r>
        <w:t xml:space="preserve">. Franklin JM, Pawar A, Martin D, et al: Nonrandomized real-world evidence to support regulatory decision making: Process for a randomized trial replication project. Clinical Pharmacology &amp; Therapeutics 107:817–826, 2020</w:t>
      </w:r>
    </w:p>
    <w:bookmarkEnd w:id="77"/>
    <w:bookmarkStart w:id="78" w:name="ref-schneeweiss2019graphical"/>
    <w:p>
      <w:pPr>
        <w:pStyle w:val="Bibliography"/>
      </w:pPr>
      <w:r>
        <w:rPr>
          <w:b/>
          <w:bCs/>
        </w:rPr>
        <w:t xml:space="preserve">29</w:t>
      </w:r>
      <w:r>
        <w:t xml:space="preserve">. Schneeweiss S, Rassen JA, Brown JS, et al: Graphical depiction of longitudinal study designs in health care databases. Annals of internal medicine 170:398–406, 2019</w:t>
      </w:r>
    </w:p>
    <w:bookmarkEnd w:id="78"/>
    <w:bookmarkStart w:id="79" w:name="ref-rubin1976inference"/>
    <w:p>
      <w:pPr>
        <w:pStyle w:val="Bibliography"/>
      </w:pPr>
      <w:r>
        <w:rPr>
          <w:b/>
          <w:bCs/>
        </w:rPr>
        <w:t xml:space="preserve">30</w:t>
      </w:r>
      <w:r>
        <w:t xml:space="preserve">. Rubin DB: Inference and missing data. Biometrika 63:581–592, 1976</w:t>
      </w:r>
    </w:p>
    <w:bookmarkEnd w:id="79"/>
    <w:bookmarkStart w:id="80" w:name="ref-weberpals2024smdi"/>
    <w:p>
      <w:pPr>
        <w:pStyle w:val="Bibliography"/>
      </w:pPr>
      <w:r>
        <w:rPr>
          <w:b/>
          <w:bCs/>
        </w:rPr>
        <w:t xml:space="preserve">31</w:t>
      </w:r>
      <w:r>
        <w:t xml:space="preserve">. Weberpals J, Raman SR, Shaw PA, et al: Smdi: An r package to perform structural missing data investigations on partially observed confounders in real-world evidence studies. JAMIA open 7:ooae008, 2024</w:t>
      </w:r>
    </w:p>
    <w:bookmarkEnd w:id="80"/>
    <w:bookmarkStart w:id="82" w:name="ref-weberpals2024"/>
    <w:p>
      <w:pPr>
        <w:pStyle w:val="Bibliography"/>
      </w:pPr>
      <w:r>
        <w:rPr>
          <w:b/>
          <w:bCs/>
        </w:rPr>
        <w:t xml:space="preserve">32</w:t>
      </w:r>
      <w:r>
        <w:t xml:space="preserve">. Weberpals J, Raman SR, Shaw PA, et al: A principled approach to characterize and analyze partially observed confounder data from electronic health records [Internet]. Clinical Epidemiology 16:329–343, 2024Available from:</w:t>
      </w:r>
      <w:hyperlink r:id="rId81">
        <w:r>
          <w:rPr>
            <w:rStyle w:val="Hyperlink"/>
          </w:rPr>
          <w:t xml:space="preserve"> </w:t>
        </w:r>
        <w:r>
          <w:rPr>
            <w:rStyle w:val="Hyperlink"/>
          </w:rPr>
          <w:t xml:space="preserve">https://www.tandfonline.com/doi/abs/10.2147/CLEP.S436131</w:t>
        </w:r>
        <w:r>
          <w:rPr>
            <w:rStyle w:val="Hyperlink"/>
          </w:rPr>
          <w:t xml:space="preserve"> </w:t>
        </w:r>
      </w:hyperlink>
    </w:p>
    <w:bookmarkEnd w:id="82"/>
    <w:bookmarkStart w:id="83" w:name="ref-moreno2018canonical"/>
    <w:p>
      <w:pPr>
        <w:pStyle w:val="Bibliography"/>
      </w:pPr>
      <w:r>
        <w:rPr>
          <w:b/>
          <w:bCs/>
        </w:rPr>
        <w:t xml:space="preserve">33</w:t>
      </w:r>
      <w:r>
        <w:t xml:space="preserve">. Moreno-Betancur M, Lee KJ, Leacy FP, et al: Canonical causal diagrams to guide the treatment of missing data in epidemiologic studies. American journal of epidemiology 187:2705–2715, 2018</w:t>
      </w:r>
    </w:p>
    <w:bookmarkEnd w:id="83"/>
    <w:bookmarkStart w:id="84" w:name="ref-tompsett2018use"/>
    <w:p>
      <w:pPr>
        <w:pStyle w:val="Bibliography"/>
      </w:pPr>
      <w:r>
        <w:rPr>
          <w:b/>
          <w:bCs/>
        </w:rPr>
        <w:t xml:space="preserve">34</w:t>
      </w:r>
      <w:r>
        <w:t xml:space="preserve">. Tompsett DM, Leacy F, Moreno-Betancur M, et al: On the use of the not-at-random fully conditional specification (NARFCS) procedure in practice. Statistics in medicine 37:2338–2353, 2018</w:t>
      </w:r>
    </w:p>
    <w:bookmarkEnd w:id="84"/>
    <w:bookmarkStart w:id="86" w:name="ref-weberpals2024hdmi"/>
    <w:p>
      <w:pPr>
        <w:pStyle w:val="Bibliography"/>
      </w:pPr>
      <w:r>
        <w:rPr>
          <w:b/>
          <w:bCs/>
        </w:rPr>
        <w:t xml:space="preserve">35</w:t>
      </w:r>
      <w:r>
        <w:t xml:space="preserve">. Weberpals J, Shaw PA, Lin KJ, et al: High-dimensional multiple imputation (HDMI) for partially observed confounders including natural language processing-derived auxiliary covariates [Internet]. arXiv, 2024Available from:</w:t>
      </w:r>
      <w:r>
        <w:t xml:space="preserve"> </w:t>
      </w:r>
      <w:hyperlink r:id="rId85">
        <w:r>
          <w:rPr>
            <w:rStyle w:val="Hyperlink"/>
          </w:rPr>
          <w:t xml:space="preserve">https://arxiv.org/abs/2405.10925</w:t>
        </w:r>
      </w:hyperlink>
    </w:p>
    <w:bookmarkEnd w:id="86"/>
    <w:bookmarkStart w:id="88" w:name="ref-Shaw2024"/>
    <w:p>
      <w:pPr>
        <w:pStyle w:val="Bibliography"/>
      </w:pPr>
      <w:r>
        <w:rPr>
          <w:b/>
          <w:bCs/>
        </w:rPr>
        <w:t xml:space="preserve">36</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7">
        <w:r>
          <w:rPr>
            <w:rStyle w:val="Hyperlink"/>
          </w:rPr>
          <w:t xml:space="preserve">https://github.com/PamelaShaw/Missing-Confounders-Methods</w:t>
        </w:r>
      </w:hyperlink>
    </w:p>
    <w:bookmarkEnd w:id="88"/>
    <w:bookmarkStart w:id="89" w:name="ref-cox1972regression"/>
    <w:p>
      <w:pPr>
        <w:pStyle w:val="Bibliography"/>
      </w:pPr>
      <w:r>
        <w:rPr>
          <w:b/>
          <w:bCs/>
        </w:rPr>
        <w:t xml:space="preserve">37</w:t>
      </w:r>
      <w:r>
        <w:t xml:space="preserve">. Cox DR: Regression models and life-tables. Journal of the royal statistical society. Series B (Methodological) 34:187–220, 1972</w:t>
      </w:r>
    </w:p>
    <w:bookmarkEnd w:id="89"/>
    <w:bookmarkStart w:id="90" w:name="ref-hernan2010hazards"/>
    <w:p>
      <w:pPr>
        <w:pStyle w:val="Bibliography"/>
      </w:pPr>
      <w:r>
        <w:rPr>
          <w:b/>
          <w:bCs/>
        </w:rPr>
        <w:t xml:space="preserve">38</w:t>
      </w:r>
      <w:r>
        <w:t xml:space="preserve">. Hernán MA: The hazards of hazard ratios. Epidemiology 21:13–15, 2010</w:t>
      </w:r>
    </w:p>
    <w:bookmarkEnd w:id="90"/>
    <w:bookmarkStart w:id="92" w:name="ref-stensrud2020test"/>
    <w:p>
      <w:pPr>
        <w:pStyle w:val="Bibliography"/>
      </w:pPr>
      <w:r>
        <w:rPr>
          <w:b/>
          <w:bCs/>
        </w:rPr>
        <w:t xml:space="preserve">39</w:t>
      </w:r>
      <w:r>
        <w:t xml:space="preserve">. Stensrud MJ, Hernán MA:</w:t>
      </w:r>
      <w:r>
        <w:t xml:space="preserve"> </w:t>
      </w:r>
      <w:hyperlink r:id="rId91">
        <w:r>
          <w:rPr>
            <w:rStyle w:val="Hyperlink"/>
          </w:rPr>
          <w:t xml:space="preserve">Why test for proportional hazards?</w:t>
        </w:r>
      </w:hyperlink>
      <w:r>
        <w:t xml:space="preserve"> Jama 323:1401–1402, 2020</w:t>
      </w:r>
    </w:p>
    <w:bookmarkEnd w:id="92"/>
    <w:bookmarkStart w:id="93" w:name="ref-kaplan1958nonparametric"/>
    <w:p>
      <w:pPr>
        <w:pStyle w:val="Bibliography"/>
      </w:pPr>
      <w:r>
        <w:rPr>
          <w:b/>
          <w:bCs/>
        </w:rPr>
        <w:t xml:space="preserve">40</w:t>
      </w:r>
      <w:r>
        <w:t xml:space="preserve">. Kaplan EL, Meier P: Nonparametric estimation from incomplete observations. Journal of the American statistical association 53:457–481, 1958</w:t>
      </w:r>
    </w:p>
    <w:bookmarkEnd w:id="93"/>
    <w:bookmarkStart w:id="94" w:name="ref-becker2020enhanced"/>
    <w:p>
      <w:pPr>
        <w:pStyle w:val="Bibliography"/>
      </w:pPr>
      <w:r>
        <w:rPr>
          <w:b/>
          <w:bCs/>
        </w:rPr>
        <w:t xml:space="preserve">41</w:t>
      </w:r>
      <w:r>
        <w:t xml:space="preserve">. Becker T, Weberpals J, Jegg A, et al: An enhanced prognostic score for overall survival of patients with cancer derived from a large real-world cohort. Annals of Oncology 31:1561–1568, 2020</w:t>
      </w:r>
    </w:p>
    <w:bookmarkEnd w:id="94"/>
    <w:bookmarkStart w:id="95" w:name="ref-leyrat2019propensity"/>
    <w:p>
      <w:pPr>
        <w:pStyle w:val="Bibliography"/>
      </w:pPr>
      <w:r>
        <w:rPr>
          <w:b/>
          <w:bCs/>
        </w:rPr>
        <w:t xml:space="preserve">42</w:t>
      </w:r>
      <w:r>
        <w:t xml:space="preserve">. Leyrat C, Seaman SR, White IR, et al: Propensity score analysis with partially observed covariates: How should multiple imputation be used? Statistical methods in medical research 28:3–19, 2019</w:t>
      </w:r>
    </w:p>
    <w:bookmarkEnd w:id="95"/>
    <w:bookmarkStart w:id="96" w:name="ref-pishgar2020matchthem"/>
    <w:p>
      <w:pPr>
        <w:pStyle w:val="Bibliography"/>
      </w:pPr>
      <w:r>
        <w:rPr>
          <w:b/>
          <w:bCs/>
        </w:rPr>
        <w:t xml:space="preserve">43</w:t>
      </w:r>
      <w:r>
        <w:t xml:space="preserve">. Pishgar F, Greifer N, Leyrat C, et al: MatchThem:: Matching and weighting after multiple imputation. arXiv preprint arXiv:200911772, 2020</w:t>
      </w:r>
    </w:p>
    <w:bookmarkEnd w:id="96"/>
    <w:bookmarkStart w:id="97" w:name="ref-rubin2018multiple"/>
    <w:p>
      <w:pPr>
        <w:pStyle w:val="Bibliography"/>
      </w:pPr>
      <w:r>
        <w:rPr>
          <w:b/>
          <w:bCs/>
        </w:rPr>
        <w:t xml:space="preserve">44</w:t>
      </w:r>
      <w:r>
        <w:t xml:space="preserve">. Rubin DB: Multiple imputation, in Flexible imputation of missing data, second edition. Chapman; Hall/CRC, 2018, pp 29–62</w:t>
      </w:r>
    </w:p>
    <w:bookmarkEnd w:id="97"/>
    <w:bookmarkStart w:id="98" w:name="ref-van2011mice"/>
    <w:p>
      <w:pPr>
        <w:pStyle w:val="Bibliography"/>
      </w:pPr>
      <w:r>
        <w:rPr>
          <w:b/>
          <w:bCs/>
        </w:rPr>
        <w:t xml:space="preserve">45</w:t>
      </w:r>
      <w:r>
        <w:t xml:space="preserve">. Van Buuren S, Groothuis-Oudshoorn K: Mice: Multivariate imputation by chained equations in r. Journal of statistical software 45:1–67, 2011</w:t>
      </w:r>
    </w:p>
    <w:bookmarkEnd w:id="98"/>
    <w:bookmarkStart w:id="99" w:name="ref-austin2009balance"/>
    <w:p>
      <w:pPr>
        <w:pStyle w:val="Bibliography"/>
      </w:pPr>
      <w:r>
        <w:rPr>
          <w:b/>
          <w:bCs/>
        </w:rPr>
        <w:t xml:space="preserve">46</w:t>
      </w:r>
      <w:r>
        <w:t xml:space="preserve">. Austin PC: Balance diagnostics for comparing the distribution of baseline covariates between treatment groups in propensity-score matched samples. Statistics in medicine 28:3083–3107, 2009</w:t>
      </w:r>
    </w:p>
    <w:bookmarkEnd w:id="99"/>
    <w:bookmarkStart w:id="100" w:name="ref-franklin2014metrics"/>
    <w:p>
      <w:pPr>
        <w:pStyle w:val="Bibliography"/>
      </w:pPr>
      <w:r>
        <w:rPr>
          <w:b/>
          <w:bCs/>
        </w:rPr>
        <w:t xml:space="preserve">47</w:t>
      </w:r>
      <w:r>
        <w:t xml:space="preserve">. Franklin JM, Rassen JA, Ackermann D, et al: Metrics for covariate balance in cohort studies of causal effects. Statistics in medicine 33:1685–1699, 2014</w:t>
      </w:r>
    </w:p>
    <w:bookmarkEnd w:id="100"/>
    <w:bookmarkStart w:id="101" w:name="ref-stuart2013prognostic"/>
    <w:p>
      <w:pPr>
        <w:pStyle w:val="Bibliography"/>
      </w:pPr>
      <w:r>
        <w:rPr>
          <w:b/>
          <w:bCs/>
        </w:rPr>
        <w:t xml:space="preserve">48</w:t>
      </w:r>
      <w:r>
        <w:t xml:space="preserve">. Stuart EA, Lee BK, Leacy FP: Prognostic score–based balance measures can be a useful diagnostic for propensity score methods in comparative effectiveness research. Journal of clinical epidemiology 66:S84–S90, 2013</w:t>
      </w:r>
    </w:p>
    <w:bookmarkEnd w:id="101"/>
    <w:bookmarkStart w:id="103" w:name="ref-warwick28685"/>
    <w:p>
      <w:pPr>
        <w:pStyle w:val="Bibliography"/>
      </w:pPr>
      <w:r>
        <w:rPr>
          <w:b/>
          <w:bCs/>
        </w:rPr>
        <w:t xml:space="preserve">49</w:t>
      </w:r>
      <w:r>
        <w:t xml:space="preserve">. Marshall A(Andrea), Billingham LJ, Bryan S: Can we afford to ignore missing data in cost-effectiveness analyses? [Internet]. European Journal of Health Economics Vol.10:1–3, 2009Available from:</w:t>
      </w:r>
      <w:r>
        <w:t xml:space="preserve"> </w:t>
      </w:r>
      <w:hyperlink r:id="rId102">
        <w:r>
          <w:rPr>
            <w:rStyle w:val="Hyperlink"/>
          </w:rPr>
          <w:t xml:space="preserve">http://dx.doi.org/10.1007/s10198-008-0129-y</w:t>
        </w:r>
      </w:hyperlink>
    </w:p>
    <w:bookmarkEnd w:id="103"/>
    <w:bookmarkStart w:id="104" w:name="ref-morisot2015prostate"/>
    <w:p>
      <w:pPr>
        <w:pStyle w:val="Bibliography"/>
      </w:pPr>
      <w:r>
        <w:rPr>
          <w:b/>
          <w:bCs/>
        </w:rPr>
        <w:t xml:space="preserve">50</w:t>
      </w:r>
      <w:r>
        <w:t xml:space="preserve">. Morisot A, Bessaoud F, Landais P, et al: Prostate cancer: Net survival and cause-specific survival rates after multiple imputation. BMC medical research methodology 15:1–14, 2015</w:t>
      </w:r>
    </w:p>
    <w:bookmarkEnd w:id="104"/>
    <w:bookmarkStart w:id="105" w:name="ref-gaber2024mystifying"/>
    <w:p>
      <w:pPr>
        <w:pStyle w:val="Bibliography"/>
      </w:pPr>
      <w:r>
        <w:rPr>
          <w:b/>
          <w:bCs/>
        </w:rPr>
        <w:t xml:space="preserve">51</w:t>
      </w:r>
      <w:r>
        <w:t xml:space="preserve">. Gaber CE, Ghazarian AA, Strassle PD, et al: De-mystifying the clone-censor-weight method for causal research using observational data: A primer for cancer researchers. Cancer Medicine 13:e70461, 2024</w:t>
      </w:r>
    </w:p>
    <w:bookmarkEnd w:id="105"/>
    <w:bookmarkEnd w:id="106"/>
    <w:bookmarkEnd w:id="107"/>
    <w:bookmarkStart w:id="120"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1"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09" name="Picture"/>
                  <a:graphic>
                    <a:graphicData uri="http://schemas.openxmlformats.org/drawingml/2006/picture">
                      <pic:pic>
                        <pic:nvPicPr>
                          <pic:cNvPr descr="../tables/Table_1_trial_eligibility.png" id="110" name="Picture"/>
                          <pic:cNvPicPr>
                            <a:picLocks noChangeArrowheads="1" noChangeAspect="1"/>
                          </pic:cNvPicPr>
                        </pic:nvPicPr>
                        <pic:blipFill>
                          <a:blip r:embed="rId108"/>
                          <a:stretch>
                            <a:fillRect/>
                          </a:stretch>
                        </pic:blipFill>
                        <pic:spPr bwMode="auto">
                          <a:xfrm>
                            <a:off x="0" y="0"/>
                            <a:ext cx="5943600" cy="5414333"/>
                          </a:xfrm>
                          <a:prstGeom prst="rect">
                            <a:avLst/>
                          </a:prstGeom>
                          <a:noFill/>
                          <a:ln w="9525">
                            <a:noFill/>
                            <a:headEnd/>
                            <a:tailEnd/>
                          </a:ln>
                        </pic:spPr>
                      </pic:pic>
                    </a:graphicData>
                  </a:graphic>
                </wp:inline>
              </w:drawing>
            </w:r>
          </w:p>
          <w:bookmarkEnd w:id="111"/>
        </w:tc>
      </w:tr>
    </w:tbl>
    <w:p>
      <w:r>
        <w:br w:type="page"/>
      </w:r>
    </w:p>
    <w:tbl>
      <w:tblPr>
        <w:tblStyle w:val="Table"/>
        <w:tblW w:type="pct" w:w="5000"/>
        <w:tblLayout w:type="fixed"/>
        <w:tblLook w:firstRow="0" w:lastRow="0" w:firstColumn="0" w:lastColumn="0" w:noHBand="0" w:noVBand="0" w:val="0000"/>
      </w:tblPr>
      <w:tblGrid>
        <w:gridCol w:w="7920"/>
      </w:tblGrid>
      <w:tr>
        <w:tc>
          <w:tcPr/>
          <w:bookmarkStart w:id="115"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13" name="Picture"/>
                  <a:graphic>
                    <a:graphicData uri="http://schemas.openxmlformats.org/drawingml/2006/picture">
                      <pic:pic>
                        <pic:nvPicPr>
                          <pic:cNvPr descr="../tables/Table_2_trial_selection.png" id="114" name="Picture"/>
                          <pic:cNvPicPr>
                            <a:picLocks noChangeArrowheads="1" noChangeAspect="1"/>
                          </pic:cNvPicPr>
                        </pic:nvPicPr>
                        <pic:blipFill>
                          <a:blip r:embed="rId112"/>
                          <a:stretch>
                            <a:fillRect/>
                          </a:stretch>
                        </pic:blipFill>
                        <pic:spPr bwMode="auto">
                          <a:xfrm>
                            <a:off x="0" y="0"/>
                            <a:ext cx="5943600" cy="6065270"/>
                          </a:xfrm>
                          <a:prstGeom prst="rect">
                            <a:avLst/>
                          </a:prstGeom>
                          <a:noFill/>
                          <a:ln w="9525">
                            <a:noFill/>
                            <a:headEnd/>
                            <a:tailEnd/>
                          </a:ln>
                        </pic:spPr>
                      </pic:pic>
                    </a:graphicData>
                  </a:graphic>
                </wp:inline>
              </w:drawing>
            </w:r>
          </w:p>
          <w:bookmarkEnd w:id="115"/>
        </w:tc>
      </w:tr>
    </w:tbl>
    <w:p>
      <w:r>
        <w:br w:type="page"/>
      </w:r>
    </w:p>
    <w:tbl>
      <w:tblPr>
        <w:tblStyle w:val="Table"/>
        <w:tblW w:type="pct" w:w="5000"/>
        <w:tblLayout w:type="fixed"/>
        <w:tblLook w:firstRow="0" w:lastRow="0" w:firstColumn="0" w:lastColumn="0" w:noHBand="0" w:noVBand="0" w:val="0000"/>
      </w:tblPr>
      <w:tblGrid>
        <w:gridCol w:w="7920"/>
      </w:tblGrid>
      <w:tr>
        <w:tc>
          <w:tcPr/>
          <w:bookmarkStart w:id="119" w:name="tbl-metrics"/>
          <w:p>
            <w:pPr>
              <w:jc w:val="center"/>
            </w:pPr>
            <w:pPr>
              <w:jc w:val="start"/>
              <w:spacing w:before="200"/>
              <w:pStyle w:val="ImageCaption"/>
            </w:pPr>
            <w:r>
              <w:t xml:space="preserve">Table 3: Visualization of agreement metrics example.</w:t>
            </w:r>
          </w:p>
          <w:p>
            <w:pPr>
              <w:jc w:val="center"/>
            </w:pPr>
            <w:r>
              <w:drawing>
                <wp:inline>
                  <wp:extent cx="5943600" cy="1659654"/>
                  <wp:effectExtent b="0" l="0" r="0" t="0"/>
                  <wp:docPr descr="" title="" id="117" name="Picture"/>
                  <a:graphic>
                    <a:graphicData uri="http://schemas.openxmlformats.org/drawingml/2006/picture">
                      <pic:pic>
                        <pic:nvPicPr>
                          <pic:cNvPr descr="../tables/Table_3_agreement_metrics.png" id="118" name="Picture"/>
                          <pic:cNvPicPr>
                            <a:picLocks noChangeArrowheads="1" noChangeAspect="1"/>
                          </pic:cNvPicPr>
                        </pic:nvPicPr>
                        <pic:blipFill>
                          <a:blip r:embed="rId116"/>
                          <a:stretch>
                            <a:fillRect/>
                          </a:stretch>
                        </pic:blipFill>
                        <pic:spPr bwMode="auto">
                          <a:xfrm>
                            <a:off x="0" y="0"/>
                            <a:ext cx="5943600" cy="1659654"/>
                          </a:xfrm>
                          <a:prstGeom prst="rect">
                            <a:avLst/>
                          </a:prstGeom>
                          <a:noFill/>
                          <a:ln w="9525">
                            <a:noFill/>
                            <a:headEnd/>
                            <a:tailEnd/>
                          </a:ln>
                        </pic:spPr>
                      </pic:pic>
                    </a:graphicData>
                  </a:graphic>
                </wp:inline>
              </w:drawing>
            </w:r>
          </w:p>
          <w:bookmarkEnd w:id="119"/>
        </w:tc>
      </w:tr>
    </w:tbl>
    <w:p>
      <w:r>
        <w:br w:type="page"/>
      </w:r>
    </w:p>
    <w:bookmarkEnd w:id="120"/>
    <w:bookmarkStart w:id="136"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4"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2" name="Picture"/>
                  <a:graphic>
                    <a:graphicData uri="http://schemas.openxmlformats.org/drawingml/2006/picture">
                      <pic:pic>
                        <pic:nvPicPr>
                          <pic:cNvPr descr="../figures/process.png" id="123" name="Picture"/>
                          <pic:cNvPicPr>
                            <a:picLocks noChangeArrowheads="1" noChangeAspect="1"/>
                          </pic:cNvPicPr>
                        </pic:nvPicPr>
                        <pic:blipFill>
                          <a:blip r:embed="rId121"/>
                          <a:stretch>
                            <a:fillRect/>
                          </a:stretch>
                        </pic:blipFill>
                        <pic:spPr bwMode="auto">
                          <a:xfrm>
                            <a:off x="0" y="0"/>
                            <a:ext cx="5943600" cy="3343275"/>
                          </a:xfrm>
                          <a:prstGeom prst="rect">
                            <a:avLst/>
                          </a:prstGeom>
                          <a:noFill/>
                          <a:ln w="9525">
                            <a:noFill/>
                            <a:headEnd/>
                            <a:tailEnd/>
                          </a:ln>
                        </pic:spPr>
                      </pic:pic>
                    </a:graphicData>
                  </a:graphic>
                </wp:inline>
              </w:drawing>
            </w:r>
          </w:p>
          <w:bookmarkEnd w:id="124"/>
        </w:tc>
      </w:tr>
    </w:tbl>
    <w:p>
      <w:pPr>
        <w:pStyle w:val="BodyText"/>
      </w:pPr>
      <w:hyperlink r:id="rId125">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29" w:name="fig-initiators"/>
          <w:p>
            <w:pPr>
              <w:jc w:val="center"/>
            </w:pPr>
            <w:pPr>
              <w:jc w:val="start"/>
              <w:spacing w:before="200"/>
              <w:pStyle w:val="ImageCaption"/>
            </w:pPr>
            <w:r>
              <w:t xml:space="preserve">Figure 2: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5493266"/>
                  <wp:effectExtent b="0" l="0" r="0" t="0"/>
                  <wp:docPr descr="" title="" id="127" name="Picture"/>
                  <a:graphic>
                    <a:graphicData uri="http://schemas.openxmlformats.org/drawingml/2006/picture">
                      <pic:pic>
                        <pic:nvPicPr>
                          <pic:cNvPr descr="Figure_2_utlization.png" id="128" name="Picture"/>
                          <pic:cNvPicPr>
                            <a:picLocks noChangeArrowheads="1" noChangeAspect="1"/>
                          </pic:cNvPicPr>
                        </pic:nvPicPr>
                        <pic:blipFill>
                          <a:blip r:embed="rId126"/>
                          <a:stretch>
                            <a:fillRect/>
                          </a:stretch>
                        </pic:blipFill>
                        <pic:spPr bwMode="auto">
                          <a:xfrm>
                            <a:off x="0" y="0"/>
                            <a:ext cx="4577722" cy="5493266"/>
                          </a:xfrm>
                          <a:prstGeom prst="rect">
                            <a:avLst/>
                          </a:prstGeom>
                          <a:noFill/>
                          <a:ln w="9525">
                            <a:noFill/>
                            <a:headEnd/>
                            <a:tailEnd/>
                          </a:ln>
                        </pic:spPr>
                      </pic:pic>
                    </a:graphicData>
                  </a:graphic>
                </wp:inline>
              </w:drawing>
            </w:r>
          </w:p>
          <w:bookmarkEnd w:id="129"/>
        </w:tc>
      </w:tr>
    </w:tbl>
    <w:p>
      <w:pPr>
        <w:pStyle w:val="BodyText"/>
      </w:pPr>
      <w:hyperlink r:id="rId130">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4" w:name="fig-balance"/>
          <w:p>
            <w:pPr>
              <w:jc w:val="center"/>
            </w:pPr>
            <w:pPr>
              <w:jc w:val="start"/>
              <w:spacing w:before="200"/>
              <w:pStyle w:val="ImageCaption"/>
            </w:pPr>
            <w:r>
              <w:t xml:space="preserve">Figure 3: Assessment of a) covariate bbalance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32" name="Picture"/>
                  <a:graphic>
                    <a:graphicData uri="http://schemas.openxmlformats.org/drawingml/2006/picture">
                      <pic:pic>
                        <pic:nvPicPr>
                          <pic:cNvPr descr="Figure_3_balance.png" id="133" name="Picture"/>
                          <pic:cNvPicPr>
                            <a:picLocks noChangeArrowheads="1" noChangeAspect="1"/>
                          </pic:cNvPicPr>
                        </pic:nvPicPr>
                        <pic:blipFill>
                          <a:blip r:embed="rId131"/>
                          <a:stretch>
                            <a:fillRect/>
                          </a:stretch>
                        </pic:blipFill>
                        <pic:spPr bwMode="auto">
                          <a:xfrm>
                            <a:off x="0" y="0"/>
                            <a:ext cx="5943600" cy="3169919"/>
                          </a:xfrm>
                          <a:prstGeom prst="rect">
                            <a:avLst/>
                          </a:prstGeom>
                          <a:noFill/>
                          <a:ln w="9525">
                            <a:noFill/>
                            <a:headEnd/>
                            <a:tailEnd/>
                          </a:ln>
                        </pic:spPr>
                      </pic:pic>
                    </a:graphicData>
                  </a:graphic>
                </wp:inline>
              </w:drawing>
            </w:r>
          </w:p>
          <w:bookmarkEnd w:id="134"/>
        </w:tc>
      </w:tr>
    </w:tbl>
    <w:p>
      <w:pPr>
        <w:pStyle w:val="BodyText"/>
      </w:pPr>
      <w:hyperlink r:id="rId135">
        <w:r>
          <w:rPr>
            <w:rStyle w:val="Hyperlink"/>
          </w:rPr>
          <w:t xml:space="preserve">View figure in higher resolution here</w:t>
        </w:r>
      </w:hyperlink>
    </w:p>
    <w:bookmarkEnd w:id="136"/>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1" Target="media/rId121.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hyperlink" Id="rId81"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2"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5"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1"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6"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7"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5" Target="https://github.com/janickweberpals/encore-process-manuscript/blob/main/manuscript/Figure_1_process.png" TargetMode="External" /><Relationship Type="http://schemas.openxmlformats.org/officeDocument/2006/relationships/hyperlink" Id="rId130" Target="https://github.com/janickweberpals/encore-process-manuscript/blob/main/manuscript/Figure_2_utlization.png" TargetMode="External" /><Relationship Type="http://schemas.openxmlformats.org/officeDocument/2006/relationships/hyperlink" Id="rId135"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1"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2"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5"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1"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6"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7"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5" Target="https://github.com/janickweberpals/encore-process-manuscript/blob/main/manuscript/Figure_1_process.png" TargetMode="External" /><Relationship Type="http://schemas.openxmlformats.org/officeDocument/2006/relationships/hyperlink" Id="rId130" Target="https://github.com/janickweberpals/encore-process-manuscript/blob/main/manuscript/Figure_2_utlization.png" TargetMode="External" /><Relationship Type="http://schemas.openxmlformats.org/officeDocument/2006/relationships/hyperlink" Id="rId135"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2025-01-09T17:55:42Z</dcterms:created>
  <dcterms:modified xsi:type="dcterms:W3CDTF">2025-01-09T17:55:42Z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